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3A72" w14:textId="77777777" w:rsidR="00C64B1B" w:rsidRPr="0056351B" w:rsidRDefault="00C64B1B" w:rsidP="00C64B1B">
      <w:pPr>
        <w:jc w:val="center"/>
        <w:rPr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701"/>
        <w:gridCol w:w="6804"/>
        <w:gridCol w:w="3686"/>
        <w:gridCol w:w="1359"/>
      </w:tblGrid>
      <w:tr w:rsidR="00A06425" w:rsidRPr="0056351B" w14:paraId="246EA88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D5D0E5E" w14:textId="77777777" w:rsidR="00A06425" w:rsidRPr="0056351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15FCF5CE" w14:textId="10FD28CE" w:rsidR="00A06425" w:rsidRPr="0056351B" w:rsidRDefault="00C40E6A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Uwagi </w:t>
            </w:r>
            <w:r w:rsidR="00261D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Ministra Zdrowia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do projektu ustawy </w:t>
            </w:r>
            <w:r w:rsidRPr="00C40E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 zmianie niektórych ustaw w związku z rozwojem e-administracji</w:t>
            </w:r>
          </w:p>
        </w:tc>
      </w:tr>
      <w:tr w:rsidR="00A06425" w:rsidRPr="0056351B" w14:paraId="6C186C68" w14:textId="77777777" w:rsidTr="0056351B">
        <w:tc>
          <w:tcPr>
            <w:tcW w:w="562" w:type="dxa"/>
            <w:shd w:val="clear" w:color="auto" w:fill="auto"/>
            <w:vAlign w:val="center"/>
          </w:tcPr>
          <w:p w14:paraId="4443B123" w14:textId="77777777" w:rsidR="00A06425" w:rsidRPr="0056351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F55BE" w14:textId="77777777" w:rsidR="00A06425" w:rsidRPr="0056351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B9458C" w14:textId="77777777" w:rsidR="00A06425" w:rsidRPr="0056351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1ADD883" w14:textId="77777777" w:rsidR="00A06425" w:rsidRPr="0056351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57EC76" w14:textId="77777777" w:rsidR="00A06425" w:rsidRPr="0056351B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91740A9" w14:textId="77777777" w:rsidR="00A06425" w:rsidRPr="0056351B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00D9" w:rsidRPr="0056351B" w14:paraId="064DB4D5" w14:textId="77777777" w:rsidTr="0056351B">
        <w:tc>
          <w:tcPr>
            <w:tcW w:w="562" w:type="dxa"/>
            <w:shd w:val="clear" w:color="auto" w:fill="auto"/>
          </w:tcPr>
          <w:p w14:paraId="04BF488B" w14:textId="77777777" w:rsidR="006700D9" w:rsidRPr="006700D9" w:rsidRDefault="006700D9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94EAC87" w14:textId="42A70036" w:rsidR="006700D9" w:rsidRPr="0056351B" w:rsidRDefault="00261D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1A3D7B15" w14:textId="51FC1B62" w:rsidR="006700D9" w:rsidRPr="0056351B" w:rsidRDefault="006700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14:paraId="36853B3A" w14:textId="54DEBF75" w:rsidR="0040348D" w:rsidRDefault="006700D9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 w:rsidR="003C310A">
              <w:rPr>
                <w:rFonts w:asciiTheme="minorHAnsi" w:hAnsiTheme="minorHAnsi" w:cstheme="minorHAnsi"/>
                <w:sz w:val="22"/>
                <w:szCs w:val="22"/>
              </w:rPr>
              <w:t xml:space="preserve">ojekt ustawy </w:t>
            </w:r>
            <w:r w:rsidR="003C310A" w:rsidRPr="003C310A">
              <w:rPr>
                <w:rFonts w:asciiTheme="minorHAnsi" w:hAnsiTheme="minorHAnsi" w:cstheme="minorHAnsi"/>
                <w:sz w:val="22"/>
                <w:szCs w:val="22"/>
              </w:rPr>
              <w:t>o zmianie niektórych ustaw w związku z rozwojem e-administracji</w:t>
            </w:r>
            <w:r w:rsidR="002E73ED">
              <w:rPr>
                <w:rFonts w:asciiTheme="minorHAnsi" w:hAnsiTheme="minorHAnsi" w:cstheme="minorHAnsi"/>
                <w:sz w:val="22"/>
                <w:szCs w:val="22"/>
              </w:rPr>
              <w:t xml:space="preserve"> (w zakresie zmian do </w:t>
            </w:r>
            <w:r w:rsidR="002E73ED" w:rsidRPr="0056351B">
              <w:rPr>
                <w:rFonts w:asciiTheme="minorHAnsi" w:hAnsiTheme="minorHAnsi" w:cstheme="minorHAnsi"/>
                <w:sz w:val="22"/>
                <w:szCs w:val="22"/>
              </w:rPr>
              <w:t>ustawy z dnia 20 lipca 2018 r. o Polskim Instytucie Ekonomicznym</w:t>
            </w:r>
            <w:r w:rsidR="002E73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C310A">
              <w:rPr>
                <w:rFonts w:asciiTheme="minorHAnsi" w:hAnsiTheme="minorHAnsi" w:cstheme="minorHAnsi"/>
                <w:sz w:val="22"/>
                <w:szCs w:val="22"/>
              </w:rPr>
              <w:t xml:space="preserve"> zakłada </w:t>
            </w:r>
            <w:r w:rsidR="002E73ED">
              <w:rPr>
                <w:rFonts w:asciiTheme="minorHAnsi" w:hAnsiTheme="minorHAnsi" w:cstheme="minorHAnsi"/>
                <w:sz w:val="22"/>
                <w:szCs w:val="22"/>
              </w:rPr>
              <w:t xml:space="preserve">wprowadzenie dodatkowej podstawy do dokonywania przez ministra właściwego ds. zdrowia (MZ), podobnie jak przez inne podmioty publiczne, analiz w zakresie realizowanych polityk publicznych. 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>W związku z tym podkreślenia wymaga, że</w:t>
            </w:r>
            <w:r w:rsidR="002E73ED">
              <w:rPr>
                <w:rFonts w:asciiTheme="minorHAnsi" w:hAnsiTheme="minorHAnsi" w:cstheme="minorHAnsi"/>
                <w:sz w:val="22"/>
                <w:szCs w:val="22"/>
              </w:rPr>
              <w:t xml:space="preserve"> MZ posiada już obecnie podstawy do prowadzenia tego rodzaju analiz, w tym na podstawie danych zgromadzonych w centralnych systemach teleinformatycznych składających się na system informacji w ochronie zdrowia. Przykładowo 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>wynikają one z</w:t>
            </w:r>
            <w:r w:rsidR="002E73ED">
              <w:rPr>
                <w:rFonts w:asciiTheme="minorHAnsi" w:hAnsiTheme="minorHAnsi" w:cstheme="minorHAnsi"/>
                <w:sz w:val="22"/>
                <w:szCs w:val="22"/>
              </w:rPr>
              <w:t xml:space="preserve"> art. 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 xml:space="preserve">11 </w:t>
            </w:r>
            <w:r w:rsidR="0040348D" w:rsidRPr="0040348D">
              <w:rPr>
                <w:rFonts w:asciiTheme="minorHAnsi" w:hAnsiTheme="minorHAnsi" w:cstheme="minorHAnsi"/>
                <w:sz w:val="22"/>
                <w:szCs w:val="22"/>
              </w:rPr>
              <w:t>ustawie z dnia 27 sierpnia 2004 r. o świadczeniach opieki zdrowotnej finansowanych ze środków publicznych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 xml:space="preserve"> oraz z art. 7 i 12 </w:t>
            </w:r>
            <w:r w:rsidR="0040348D" w:rsidRPr="0056351B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40348D"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z dnia 28 kwietnia 2011 r. o systemie informacji w ochronie zdrowia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 xml:space="preserve"> (ustawa o SIOZ)</w:t>
            </w:r>
            <w:r w:rsidR="0040348D" w:rsidRPr="0056351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 xml:space="preserve"> Ponadto analizy te są obecnie efektywnie prowadzone przez MZ m.in. przy wsparciu </w:t>
            </w:r>
            <w:proofErr w:type="spellStart"/>
            <w:r w:rsidR="00C40E6A"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 w:rsidR="0040348D">
              <w:rPr>
                <w:rFonts w:asciiTheme="minorHAnsi" w:hAnsiTheme="minorHAnsi" w:cstheme="minorHAnsi"/>
                <w:sz w:val="22"/>
                <w:szCs w:val="22"/>
              </w:rPr>
              <w:t xml:space="preserve"> administrującego od strony technicznej wieloma systemami MZ. </w:t>
            </w:r>
          </w:p>
          <w:p w14:paraId="68667E33" w14:textId="7E57094A" w:rsidR="005A2AAC" w:rsidRDefault="0040348D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powyższym wprowadzanie podstawy prawnej dla dokonywania przez Polski Instytut Ekonomiczny (Instytut)</w:t>
            </w:r>
            <w:r w:rsidR="001102E0">
              <w:rPr>
                <w:rFonts w:asciiTheme="minorHAnsi" w:hAnsiTheme="minorHAnsi" w:cstheme="minorHAnsi"/>
                <w:sz w:val="22"/>
                <w:szCs w:val="22"/>
              </w:rPr>
              <w:t xml:space="preserve"> w ramach Zintegrowanej Platformy Analitycznej (ZPA)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analiz polityk publicznych w zakresie ochrony zdrowia 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>na potrzeby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MZ wydaje się zbędne, ponieważ MZ może i dokonuje obecnie przedmiotowych analiz we własnym zakresie. </w:t>
            </w:r>
          </w:p>
          <w:p w14:paraId="19B1FB8C" w14:textId="1521878F" w:rsidR="006700D9" w:rsidRDefault="0040348D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podkreślenia wymaga, że 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>proponowane uregulowanie w art. 8d ustawy o SIOZ podstawy do przekazywania Instytutowi danych z systemu informacji na cele tych analiz wiązałoby się z koniecznością zintegrowania wielu systemów i rejestrów prowadzonych w ochronie zdrowia</w:t>
            </w:r>
            <w:r w:rsidR="001102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>z systemami Instytutu. Przeprowadzenie tego rodzaju integracji byłoby natomiast</w:t>
            </w:r>
            <w:r w:rsidR="0045170D">
              <w:rPr>
                <w:rFonts w:asciiTheme="minorHAnsi" w:hAnsiTheme="minorHAnsi" w:cstheme="minorHAnsi"/>
                <w:sz w:val="22"/>
                <w:szCs w:val="22"/>
              </w:rPr>
              <w:t xml:space="preserve"> kosztowne i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czasochłonne, mając na uwadze liczebność i różnorodność systemów składających się na system informacji w ochronie zdrowia. Dodatkowo niewątpliwie wiązałoby się to z koniecznością poniesienia znaczących wydatków z budżetu państwa na cele 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przeprowadzenia niezbędnych pra</w:t>
            </w:r>
            <w:r w:rsidR="001102E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deweloperskich nad rozwiązaniami technicznymi w tym zakresie. </w:t>
            </w:r>
          </w:p>
          <w:p w14:paraId="3AE7C8F4" w14:textId="473009FB" w:rsidR="00B76581" w:rsidRDefault="005A2AAC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powyższym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 xml:space="preserve"> MZ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rekomenduje zrezygnowanie z wprowadzania w </w:t>
            </w:r>
            <w:r w:rsidR="001102E0">
              <w:rPr>
                <w:rFonts w:asciiTheme="minorHAnsi" w:hAnsiTheme="minorHAnsi" w:cstheme="minorHAnsi"/>
                <w:sz w:val="22"/>
                <w:szCs w:val="22"/>
              </w:rPr>
              <w:t xml:space="preserve">opiniowanym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projekcie ustawy podstaw do prowadzenia przez Instytut analiz polityk publicznych w zakresie ochrony zdrowia oraz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przekazywania Instytutowi danych z systemów wchodzących w skład systemu informacji w ochronie zdrowia. </w:t>
            </w:r>
          </w:p>
          <w:p w14:paraId="77D3BB68" w14:textId="2F19ED43" w:rsidR="00AF7F4D" w:rsidRDefault="001102E0" w:rsidP="00AF7F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szłości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wypracowując docelowe rozwiązania szczególne znaczenie będą miały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poniższ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szczegółowe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uwag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legislacyjn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dot. poszczególnych przepisów objętych projektem ustawy. Ponadto 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 xml:space="preserve">konieczne będzie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>zabezpieczeni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 xml:space="preserve"> odpowiednich środków finansowych pozwalających na integrację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poszczególnych 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 w:rsidR="005A2A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>wchodzących w skład systemu informacji w ochronie zdrowia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 xml:space="preserve">z ZPA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>w celu umożliwienia przekazywania Instytutowi danych na cele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owania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 polityk publicznych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oraz na realizację zadań związanych z </w:t>
            </w:r>
            <w:proofErr w:type="spellStart"/>
            <w:r w:rsidR="00FB488F">
              <w:rPr>
                <w:rFonts w:asciiTheme="minorHAnsi" w:hAnsiTheme="minorHAnsi" w:cstheme="minorHAnsi"/>
                <w:sz w:val="22"/>
                <w:szCs w:val="22"/>
              </w:rPr>
              <w:t>pseudonimizacją</w:t>
            </w:r>
            <w:proofErr w:type="spellEnd"/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udostępnianych danych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. Dodatkowo w projektowanej ustawie </w:t>
            </w:r>
            <w:r w:rsidR="00B83B15"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 przewidz</w:t>
            </w:r>
            <w:r w:rsidR="00B83B15">
              <w:rPr>
                <w:rFonts w:asciiTheme="minorHAnsi" w:hAnsiTheme="minorHAnsi" w:cstheme="minorHAnsi"/>
                <w:sz w:val="22"/>
                <w:szCs w:val="22"/>
              </w:rPr>
              <w:t>ieć</w:t>
            </w:r>
            <w:r w:rsidR="00B92A9E">
              <w:rPr>
                <w:rFonts w:asciiTheme="minorHAnsi" w:hAnsiTheme="minorHAnsi" w:cstheme="minorHAnsi"/>
                <w:sz w:val="22"/>
                <w:szCs w:val="22"/>
              </w:rPr>
              <w:t xml:space="preserve"> stosowne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1D9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vacatio legis</w:t>
            </w:r>
            <w:r w:rsidR="000E1D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dla ww. przepisów, </w:t>
            </w:r>
            <w:r w:rsidR="000E1D9A">
              <w:rPr>
                <w:rFonts w:asciiTheme="minorHAnsi" w:hAnsiTheme="minorHAnsi" w:cstheme="minorHAnsi"/>
                <w:sz w:val="22"/>
                <w:szCs w:val="22"/>
              </w:rPr>
              <w:t xml:space="preserve">dostosowane do czasochłonności prac deweloperskich ukierunkowanych na zapewnienie takiej integracji. Kalkulacje finansowe oraz szacunki co do czasu realizacji tych zadań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będą mogły zostać ustalone w toku dalszych prac.</w:t>
            </w:r>
            <w:r w:rsidR="000E1D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581">
              <w:rPr>
                <w:rFonts w:asciiTheme="minorHAnsi" w:hAnsiTheme="minorHAnsi" w:cstheme="minorHAnsi"/>
                <w:sz w:val="22"/>
                <w:szCs w:val="22"/>
              </w:rPr>
              <w:t xml:space="preserve">Ich opracowanie wymaga bowiem uprzedniego pozyskania </w:t>
            </w:r>
            <w:r w:rsidR="00543B23">
              <w:rPr>
                <w:rFonts w:asciiTheme="minorHAnsi" w:hAnsiTheme="minorHAnsi" w:cstheme="minorHAnsi"/>
                <w:sz w:val="22"/>
                <w:szCs w:val="22"/>
              </w:rPr>
              <w:t xml:space="preserve">rozstrzygnięć </w:t>
            </w:r>
            <w:r w:rsidR="00B83B15">
              <w:rPr>
                <w:rFonts w:asciiTheme="minorHAnsi" w:hAnsiTheme="minorHAnsi" w:cstheme="minorHAnsi"/>
                <w:sz w:val="22"/>
                <w:szCs w:val="22"/>
              </w:rPr>
              <w:t>Projektodawców</w:t>
            </w:r>
            <w:r w:rsidR="00543B23">
              <w:rPr>
                <w:rFonts w:asciiTheme="minorHAnsi" w:hAnsiTheme="minorHAnsi" w:cstheme="minorHAnsi"/>
                <w:sz w:val="22"/>
                <w:szCs w:val="22"/>
              </w:rPr>
              <w:t xml:space="preserve"> w poniżej zasygnalizowanych kwestiach</w:t>
            </w:r>
            <w:r w:rsidR="00B83B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F7E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3A78568" w14:textId="1B49EB6E" w:rsidR="005A2AAC" w:rsidRPr="000E1D9A" w:rsidRDefault="00CF7E69" w:rsidP="00AF7F4D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Zaznaczenia wymaga również, że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obecn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brzmieni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projektu ustawy do przekazywania</w:t>
            </w:r>
            <w:r w:rsidR="004C11D7">
              <w:rPr>
                <w:rFonts w:asciiTheme="minorHAnsi" w:hAnsiTheme="minorHAnsi" w:cstheme="minorHAnsi"/>
                <w:sz w:val="22"/>
                <w:szCs w:val="22"/>
              </w:rPr>
              <w:t xml:space="preserve"> danych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ZPA </w:t>
            </w:r>
            <w:r w:rsidR="004C11D7">
              <w:rPr>
                <w:rFonts w:asciiTheme="minorHAnsi" w:hAnsiTheme="minorHAnsi" w:cstheme="minorHAnsi"/>
                <w:sz w:val="22"/>
                <w:szCs w:val="22"/>
              </w:rPr>
              <w:t xml:space="preserve">zobligowane będą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również podmioty niepubliczne (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usługodawcy, tj.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placówki medyczne)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. To </w:t>
            </w:r>
            <w:r w:rsidR="004C11D7">
              <w:rPr>
                <w:rFonts w:asciiTheme="minorHAnsi" w:hAnsiTheme="minorHAnsi" w:cstheme="minorHAnsi"/>
                <w:sz w:val="22"/>
                <w:szCs w:val="22"/>
              </w:rPr>
              <w:t>również będzie wiązało się z koniecznością poniesienia przez te podmioty nakładów finansowych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związanych z pracami dostosowawczymi, a następnie z dokonywaniem </w:t>
            </w:r>
            <w:proofErr w:type="spellStart"/>
            <w:r w:rsidR="00FB488F">
              <w:rPr>
                <w:rFonts w:asciiTheme="minorHAnsi" w:hAnsiTheme="minorHAnsi" w:cstheme="minorHAnsi"/>
                <w:sz w:val="22"/>
                <w:szCs w:val="22"/>
              </w:rPr>
              <w:t>pseudonimizacji</w:t>
            </w:r>
            <w:proofErr w:type="spellEnd"/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danych 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>przekazywanych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 do ZPA,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11D7">
              <w:rPr>
                <w:rFonts w:asciiTheme="minorHAnsi" w:hAnsiTheme="minorHAnsi" w:cstheme="minorHAnsi"/>
                <w:sz w:val="22"/>
                <w:szCs w:val="22"/>
              </w:rPr>
              <w:t>oraz będzie wymagało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11D7">
              <w:rPr>
                <w:rFonts w:asciiTheme="minorHAnsi" w:hAnsiTheme="minorHAnsi" w:cstheme="minorHAnsi"/>
                <w:sz w:val="22"/>
                <w:szCs w:val="22"/>
              </w:rPr>
              <w:t>zapewnienia tym podmiotom odpowiedniego czasu na przeprowadzenia prac dostosowawczych.</w:t>
            </w:r>
          </w:p>
        </w:tc>
        <w:tc>
          <w:tcPr>
            <w:tcW w:w="3686" w:type="dxa"/>
            <w:shd w:val="clear" w:color="auto" w:fill="auto"/>
          </w:tcPr>
          <w:p w14:paraId="0CB5CA24" w14:textId="6968B5F5" w:rsidR="006700D9" w:rsidRPr="0056351B" w:rsidRDefault="00D652CE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1359" w:type="dxa"/>
          </w:tcPr>
          <w:p w14:paraId="35187503" w14:textId="77777777" w:rsidR="006700D9" w:rsidRPr="0056351B" w:rsidRDefault="006700D9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C8B" w:rsidRPr="0056351B" w14:paraId="1CE5002F" w14:textId="77777777" w:rsidTr="0056351B">
        <w:tc>
          <w:tcPr>
            <w:tcW w:w="562" w:type="dxa"/>
            <w:shd w:val="clear" w:color="auto" w:fill="auto"/>
          </w:tcPr>
          <w:p w14:paraId="37CA0704" w14:textId="58EFEB18" w:rsidR="00703C8B" w:rsidRPr="006700D9" w:rsidRDefault="00703C8B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C7BFB4B" w14:textId="0304F39A" w:rsidR="00703C8B" w:rsidRPr="0056351B" w:rsidRDefault="00261DCF" w:rsidP="00703C8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1B645A18" w14:textId="6B8DCA0C" w:rsidR="00703C8B" w:rsidRPr="0056351B" w:rsidRDefault="00703C8B" w:rsidP="00703C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art. 26 (w zakresie dodawanego art. 8d w ustawie z dnia 28 kwietnia 2011 r. o systemie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informacji w ochronie zdrowia)</w:t>
            </w:r>
          </w:p>
        </w:tc>
        <w:tc>
          <w:tcPr>
            <w:tcW w:w="6804" w:type="dxa"/>
            <w:shd w:val="clear" w:color="auto" w:fill="auto"/>
          </w:tcPr>
          <w:p w14:paraId="5F0D2631" w14:textId="45633405" w:rsidR="0056351B" w:rsidRDefault="006700D9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Mając na uwadze wymogi prawne dotyczące zasad przetwarzania danych osobowych i ich ochrony, komentowany</w:t>
            </w:r>
            <w:r w:rsidR="0056351B"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przepis nie stanowi</w:t>
            </w:r>
            <w:r w:rsidR="0056351B">
              <w:rPr>
                <w:rFonts w:asciiTheme="minorHAnsi" w:hAnsiTheme="minorHAnsi" w:cstheme="minorHAnsi"/>
                <w:sz w:val="22"/>
                <w:szCs w:val="22"/>
              </w:rPr>
              <w:t xml:space="preserve"> wystarczającej podstawy prawnej do przekazywania danych zgromadzonych w system</w:t>
            </w:r>
            <w:r w:rsidR="00967D07"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="0056351B">
              <w:rPr>
                <w:rFonts w:asciiTheme="minorHAnsi" w:hAnsiTheme="minorHAnsi" w:cstheme="minorHAnsi"/>
                <w:sz w:val="22"/>
                <w:szCs w:val="22"/>
              </w:rPr>
              <w:t>informacji w ochronie zdrowia</w:t>
            </w:r>
            <w:r w:rsidR="00967D07"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art. 1 </w:t>
            </w:r>
            <w:r w:rsidR="0040348D">
              <w:rPr>
                <w:rFonts w:asciiTheme="minorHAnsi" w:hAnsiTheme="minorHAnsi" w:cstheme="minorHAnsi"/>
                <w:sz w:val="22"/>
                <w:szCs w:val="22"/>
              </w:rPr>
              <w:t>ustawy o SIOZ.</w:t>
            </w:r>
          </w:p>
          <w:p w14:paraId="6CC7D863" w14:textId="0DA64454" w:rsidR="00967D07" w:rsidRDefault="00967D07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pierwszej kolejności należy wskazać, iż ww. s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ystem informacji w ochronie 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bardzo pojemne pojęcie,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które 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 xml:space="preserve">zgodnie z art. 3 ustawy o SIOZ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odnosi się </w:t>
            </w:r>
            <w:r w:rsidR="0045170D">
              <w:rPr>
                <w:rFonts w:asciiTheme="minorHAnsi" w:hAnsiTheme="minorHAnsi" w:cstheme="minorHAnsi"/>
                <w:sz w:val="22"/>
                <w:szCs w:val="22"/>
              </w:rPr>
              <w:t xml:space="preserve">tylko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 xml:space="preserve">systemu informacji, o którym mowa w art. 5 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o SIOZ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ale do konglomeratu baz danych, które prowadzone są przez wielu, różnych interesariuszy sektora zdrowia.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kładają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niego zatem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nie tylko systemy centralne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np. System e-Zdrowia (P1)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systemy dziedzinowe i rejestry medyczne,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ale również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bazy danych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prowadzone przez usługodawców (placówki medyczne) czy 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samorządy zawodowe.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Powyższe implikuje zatem, że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 zgodnie z komentowanym przepisem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do udostępniania danych na potrzeby analiz </w:t>
            </w:r>
            <w:r w:rsidR="006366CC" w:rsidRPr="006366CC">
              <w:rPr>
                <w:rFonts w:asciiTheme="minorHAnsi" w:hAnsiTheme="minorHAnsi" w:cstheme="minorHAnsi"/>
                <w:sz w:val="22"/>
                <w:szCs w:val="22"/>
              </w:rPr>
              <w:t>polityk publicznych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 zobligowane byłyby również podmioty niepubliczne niewykonujące zadań publicznych. To z kolei wydaje się być sprzeczne z intencją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rojektodawców. Brzmienie przepisów dot. prowadzenia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>ZIP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 wskazuje bowiem, iż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>rojektodawcy dążą, by w celu dokonywania analiz polityk publicznych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711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>Instytutowi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 przekazywane</w:t>
            </w:r>
            <w:r w:rsidR="00C711B3">
              <w:rPr>
                <w:rFonts w:asciiTheme="minorHAnsi" w:hAnsiTheme="minorHAnsi" w:cstheme="minorHAnsi"/>
                <w:sz w:val="22"/>
                <w:szCs w:val="22"/>
              </w:rPr>
              <w:t xml:space="preserve"> były</w:t>
            </w:r>
            <w:r w:rsidR="006366CC">
              <w:rPr>
                <w:rFonts w:asciiTheme="minorHAnsi" w:hAnsiTheme="minorHAnsi" w:cstheme="minorHAnsi"/>
                <w:sz w:val="22"/>
                <w:szCs w:val="22"/>
              </w:rPr>
              <w:t xml:space="preserve"> dane znajdujące się w posiadaniu wyłącznie podmiotów publicznych. </w:t>
            </w:r>
          </w:p>
          <w:p w14:paraId="3A10DB36" w14:textId="2F6C5D36" w:rsidR="00C711B3" w:rsidRDefault="00C711B3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967D07">
              <w:rPr>
                <w:rFonts w:asciiTheme="minorHAnsi" w:hAnsiTheme="minorHAnsi" w:cstheme="minorHAnsi"/>
                <w:sz w:val="22"/>
                <w:szCs w:val="22"/>
              </w:rPr>
              <w:t xml:space="preserve">komentowany przepis nie określa szczegółowo zakresu danych, które mają podlegać przekazywaniu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Instytutowi </w:t>
            </w:r>
            <w:r w:rsidR="00967D07">
              <w:rPr>
                <w:rFonts w:asciiTheme="minorHAnsi" w:hAnsiTheme="minorHAnsi" w:cstheme="minorHAnsi"/>
                <w:sz w:val="22"/>
                <w:szCs w:val="22"/>
              </w:rPr>
              <w:t xml:space="preserve">z systemu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informacji. Przepis wykazuje w tym zakresie blankietowość i nie jest on zgodny z wymogami prawnymi dot. kreowania podstaw prawnych do przetwarzania danych osobowych. Na podstawie komentowanego przepisu przekazywaniu podlegać mają natomiast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właśnie wrażliwe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 osobowe dotyczące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zdrowia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pacjentów, a prawdopodobnie również </w:t>
            </w:r>
            <w:r w:rsidR="008A35F2">
              <w:rPr>
                <w:rFonts w:asciiTheme="minorHAnsi" w:hAnsiTheme="minorHAnsi" w:cstheme="minorHAnsi"/>
                <w:sz w:val="22"/>
                <w:szCs w:val="22"/>
              </w:rPr>
              <w:t xml:space="preserve">dane osobowe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pracowników medycznych.</w:t>
            </w:r>
          </w:p>
          <w:p w14:paraId="7896863A" w14:textId="77777777" w:rsidR="00C711B3" w:rsidRDefault="00C711B3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E10922" w14:textId="5C13A675" w:rsidR="00703C8B" w:rsidRPr="0056351B" w:rsidRDefault="00C711B3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Wobec powyższego</w:t>
            </w:r>
            <w:r w:rsidR="00A07901">
              <w:rPr>
                <w:rFonts w:asciiTheme="minorHAnsi" w:hAnsiTheme="minorHAnsi" w:cstheme="minorHAnsi"/>
                <w:sz w:val="22"/>
                <w:szCs w:val="22"/>
              </w:rPr>
              <w:t xml:space="preserve"> brzmienie 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>komentowan</w:t>
            </w:r>
            <w:r w:rsidR="00A07901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>przepis</w:t>
            </w:r>
            <w:r w:rsidR="00A0790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wymaga doprecyzowania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pierwsze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dookreślony powinien 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 xml:space="preserve">zostać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zakres danych, jakie mają być przekazywane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Instytutowi w celu wykonywania analiz polityk publicznych. Zgodnie z wymogami 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>dot. przetwarzania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 xml:space="preserve">danych osobowych 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dane te powinny zostać określone np. rodzajowo lub poprzez odesłanie do poszczególnych 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 xml:space="preserve">kategorii 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danych zawartych w katalogu, o którym mowa w art. 21a ust. 4 </w:t>
            </w:r>
            <w:r w:rsidR="0065626F" w:rsidRPr="0056351B">
              <w:rPr>
                <w:rFonts w:asciiTheme="minorHAnsi" w:hAnsiTheme="minorHAnsi" w:cstheme="minorHAnsi"/>
                <w:sz w:val="22"/>
                <w:szCs w:val="22"/>
              </w:rPr>
              <w:t>ustawy z dnia 20 lipca 2018 r. o Polskim Instytucie Ekonomicznym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i które mogą być przetwarzane przez Instytut na potrzeby prowadzenia przedmiotowych analiz. Po drugie komentowany przepis 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>należałoby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doprecyzowa</w:t>
            </w:r>
            <w:r w:rsidR="00224C3B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co do </w:t>
            </w:r>
            <w:r w:rsidR="00A07901">
              <w:rPr>
                <w:rFonts w:asciiTheme="minorHAnsi" w:hAnsiTheme="minorHAnsi" w:cstheme="minorHAnsi"/>
                <w:sz w:val="22"/>
                <w:szCs w:val="22"/>
              </w:rPr>
              <w:t>wykazu</w:t>
            </w:r>
            <w:r w:rsidR="0065626F">
              <w:rPr>
                <w:rFonts w:asciiTheme="minorHAnsi" w:hAnsiTheme="minorHAnsi" w:cstheme="minorHAnsi"/>
                <w:sz w:val="22"/>
                <w:szCs w:val="22"/>
              </w:rPr>
              <w:t xml:space="preserve"> systemów teleinformatycznych, z których dane mają być przekazywane Instytutowi. </w:t>
            </w:r>
            <w:r w:rsidR="006700D9">
              <w:rPr>
                <w:rFonts w:asciiTheme="minorHAnsi" w:hAnsiTheme="minorHAnsi" w:cstheme="minorHAnsi"/>
                <w:sz w:val="22"/>
                <w:szCs w:val="22"/>
              </w:rPr>
              <w:t xml:space="preserve">W świetle brzmienia projektowanych przepisów o ZPA i powiązania ich z obowiązkami podmiotów publicznych,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 xml:space="preserve">MZ </w:t>
            </w:r>
            <w:r w:rsidR="006700D9">
              <w:rPr>
                <w:rFonts w:asciiTheme="minorHAnsi" w:hAnsiTheme="minorHAnsi" w:cstheme="minorHAnsi"/>
                <w:sz w:val="22"/>
                <w:szCs w:val="22"/>
              </w:rPr>
              <w:t xml:space="preserve">rekomenduje dookreślenie, że Instytutowi mogą być przekazywane dane z Systemu e-Zdrowia, systemów dziedzinowych oraz z rejestrów medycznych, o których mowa w art. 5 ust. 1 ustawy o SIOZ. </w:t>
            </w:r>
          </w:p>
        </w:tc>
        <w:tc>
          <w:tcPr>
            <w:tcW w:w="3686" w:type="dxa"/>
            <w:shd w:val="clear" w:color="auto" w:fill="auto"/>
          </w:tcPr>
          <w:p w14:paraId="1B2842F5" w14:textId="7119615A" w:rsidR="00703C8B" w:rsidRPr="0056351B" w:rsidRDefault="00D652CE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1359" w:type="dxa"/>
          </w:tcPr>
          <w:p w14:paraId="729D702A" w14:textId="77777777" w:rsidR="00703C8B" w:rsidRPr="0056351B" w:rsidRDefault="00703C8B" w:rsidP="00703C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56351B" w14:paraId="7257468C" w14:textId="77777777" w:rsidTr="0056351B">
        <w:tc>
          <w:tcPr>
            <w:tcW w:w="562" w:type="dxa"/>
            <w:shd w:val="clear" w:color="auto" w:fill="auto"/>
          </w:tcPr>
          <w:p w14:paraId="1844C78B" w14:textId="071AD4DC" w:rsidR="00A06425" w:rsidRPr="006700D9" w:rsidRDefault="00A06425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1A7E961" w14:textId="45D95ACD" w:rsidR="00A06425" w:rsidRPr="0056351B" w:rsidRDefault="00261D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41B0E576" w14:textId="593D3C89" w:rsidR="00A06425" w:rsidRPr="0056351B" w:rsidRDefault="00DC58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31 pkt 2 (w zakresie dodawanego art. </w:t>
            </w:r>
            <w:r w:rsidR="00D4082B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ust. </w:t>
            </w:r>
            <w:r w:rsidR="00D4082B">
              <w:rPr>
                <w:rFonts w:asciiTheme="minorHAnsi" w:hAnsiTheme="minorHAnsi" w:cstheme="minorHAnsi"/>
                <w:sz w:val="22"/>
                <w:szCs w:val="22"/>
              </w:rPr>
              <w:t>4 pkt 46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F0C4A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i 78 </w:t>
            </w:r>
            <w:r w:rsidR="0015594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155944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 xml:space="preserve"> z dnia 20 lipca 2018 r. o Polskim Instytucie Ekonomicznym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38D4521E" w14:textId="1C444A3C" w:rsidR="00196DF7" w:rsidRDefault="00AF7F4D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MZ</w:t>
            </w:r>
            <w:r w:rsidR="00D4082B">
              <w:rPr>
                <w:rFonts w:asciiTheme="minorHAnsi" w:hAnsiTheme="minorHAnsi" w:cstheme="minorHAnsi"/>
                <w:sz w:val="22"/>
                <w:szCs w:val="22"/>
              </w:rPr>
              <w:t xml:space="preserve"> sugeruje nadanie komentowanej jednostce redakcyjnej zaproponowanego brzmienia. Rekomendowane modyfikacje ukierunkowane są na większe uogólnienie rodzajów danych, które mają być objęte przetwarzaniem. Ponadto przykładowo w kontekście kodyfikacji </w:t>
            </w:r>
            <w:proofErr w:type="spellStart"/>
            <w:r w:rsidR="00D4082B">
              <w:rPr>
                <w:rFonts w:asciiTheme="minorHAnsi" w:hAnsiTheme="minorHAnsi" w:cstheme="minorHAnsi"/>
                <w:sz w:val="22"/>
                <w:szCs w:val="22"/>
              </w:rPr>
              <w:t>rozpoznań</w:t>
            </w:r>
            <w:proofErr w:type="spellEnd"/>
            <w:r w:rsidR="00D4082B">
              <w:rPr>
                <w:rFonts w:asciiTheme="minorHAnsi" w:hAnsiTheme="minorHAnsi" w:cstheme="minorHAnsi"/>
                <w:sz w:val="22"/>
                <w:szCs w:val="22"/>
              </w:rPr>
              <w:t xml:space="preserve"> klinicznych obecnie prowadzone są prace nad klasyfikacją ICD-11, która ma być stosowana w nieodległym czasie. Dlatego też zaproponowane uogólnienie pojęć wydaje się </w:t>
            </w:r>
            <w:r w:rsidR="00003DC5">
              <w:rPr>
                <w:rFonts w:asciiTheme="minorHAnsi" w:hAnsiTheme="minorHAnsi" w:cstheme="minorHAnsi"/>
                <w:sz w:val="22"/>
                <w:szCs w:val="22"/>
              </w:rPr>
              <w:t xml:space="preserve">zapewniać większą elastyczność tej regulacji. </w:t>
            </w:r>
          </w:p>
          <w:p w14:paraId="3A5FB4B0" w14:textId="2FF079F7" w:rsidR="00A06425" w:rsidRPr="0056351B" w:rsidRDefault="00196DF7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w art. 21a ust. 4</w:t>
            </w:r>
            <w:r w:rsidR="00DF0C4A">
              <w:rPr>
                <w:rFonts w:asciiTheme="minorHAnsi" w:hAnsiTheme="minorHAnsi" w:cstheme="minorHAnsi"/>
                <w:sz w:val="22"/>
                <w:szCs w:val="22"/>
              </w:rPr>
              <w:t xml:space="preserve"> proponuje się usunięcie pkt 47</w:t>
            </w:r>
            <w:r w:rsidR="00FB488F">
              <w:rPr>
                <w:rFonts w:asciiTheme="minorHAnsi" w:hAnsiTheme="minorHAnsi" w:cstheme="minorHAnsi"/>
                <w:sz w:val="22"/>
                <w:szCs w:val="22"/>
              </w:rPr>
              <w:t xml:space="preserve"> oraz 78</w:t>
            </w:r>
            <w:r w:rsidR="00DF0C4A">
              <w:rPr>
                <w:rFonts w:asciiTheme="minorHAnsi" w:hAnsiTheme="minorHAnsi" w:cstheme="minorHAnsi"/>
                <w:sz w:val="22"/>
                <w:szCs w:val="22"/>
              </w:rPr>
              <w:t xml:space="preserve">, ponieważ objęte nim dane zawierają się już w zakresie danych określonym w pkt 46. </w:t>
            </w:r>
          </w:p>
        </w:tc>
        <w:tc>
          <w:tcPr>
            <w:tcW w:w="3686" w:type="dxa"/>
            <w:shd w:val="clear" w:color="auto" w:fill="auto"/>
          </w:tcPr>
          <w:p w14:paraId="6CE153C5" w14:textId="5745772F" w:rsidR="00A06425" w:rsidRPr="00D652CE" w:rsidRDefault="00D4082B" w:rsidP="009206D3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46)</w:t>
            </w:r>
            <w:r w:rsidRP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ab/>
              <w:t>jednostkowe dane medyczne, o których mowa w art. 2 pkt 7 ustawy z dnia 28 kwietnia 2011 r. o systemie informacji w ochronie zdrowia (Dz. U. 2022 r. poz. 1555, 2280), w tym informacje o stanie zdrowia i świadczeniach</w:t>
            </w:r>
            <w:r w:rsid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zdrowotnych udzielanych pacjentom, </w:t>
            </w:r>
            <w:proofErr w:type="spellStart"/>
            <w:r w:rsidRP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rozpoznaniach</w:t>
            </w:r>
            <w:proofErr w:type="spellEnd"/>
            <w:r w:rsidRPr="00D652C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klinicznych, procedurach medycznych, kwocie środków publicznych wydatkowanych na sfinansowanie udzielonych pacjentowi świadczeń opieki zdrowotnej, wystawionych receptach, skierowaniach oraz zleceniach na zaopatrzenie w wyroby medyczne wraz z odpowiednimi datami i kodami, informacje o refundacji leków, środków spożywczych specjalnego przeznaczenia żywieniowego oraz wyrobów medycznych, w szczególności o ich wystawieniu i realizacji w ramach recept, oraz wzrost i waga pacjenta;</w:t>
            </w:r>
          </w:p>
          <w:p w14:paraId="3F020715" w14:textId="7A2232A9" w:rsidR="00DF0C4A" w:rsidRPr="00D652CE" w:rsidRDefault="00DF0C4A" w:rsidP="009206D3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A38F18" w14:textId="126BAF58" w:rsidR="00FB488F" w:rsidRPr="00D652CE" w:rsidRDefault="00FB488F" w:rsidP="00FB488F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359" w:type="dxa"/>
          </w:tcPr>
          <w:p w14:paraId="11B54651" w14:textId="77777777" w:rsidR="00A06425" w:rsidRPr="0056351B" w:rsidRDefault="00A06425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AB0" w:rsidRPr="0056351B" w14:paraId="620A883C" w14:textId="77777777" w:rsidTr="0056351B">
        <w:tc>
          <w:tcPr>
            <w:tcW w:w="562" w:type="dxa"/>
            <w:shd w:val="clear" w:color="auto" w:fill="auto"/>
          </w:tcPr>
          <w:p w14:paraId="44D59191" w14:textId="77777777" w:rsidR="005E5AB0" w:rsidRPr="006700D9" w:rsidRDefault="005E5AB0" w:rsidP="005E5AB0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03E2E2F" w14:textId="6EB998C4" w:rsidR="005E5AB0" w:rsidRPr="0056351B" w:rsidRDefault="00261DCF" w:rsidP="005E5A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7C7E97FD" w14:textId="04F2EFCE" w:rsidR="005E5AB0" w:rsidRDefault="005E5AB0" w:rsidP="005E5A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31 pkt 2 (w zakresie dodawanego art. 21a ust. 7 pkt 14 lit. b w 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 xml:space="preserve"> z dnia 20 lipca 2018 r. o Polskim Instytucie Ekonomicznym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1F99B9BA" w14:textId="6E1D2B00" w:rsidR="005E5AB0" w:rsidRDefault="005E5AB0" w:rsidP="005E5A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Systemy  </w:t>
            </w:r>
            <w:r w:rsidR="00726DDD">
              <w:rPr>
                <w:rFonts w:asciiTheme="minorHAnsi" w:hAnsiTheme="minorHAnsi" w:cstheme="minorHAnsi"/>
                <w:sz w:val="22"/>
                <w:szCs w:val="22"/>
              </w:rPr>
              <w:t xml:space="preserve">teleinformatyczne i rejestry medyczne, o których mowa w art. 5 ustawy o SIOZ co do zasady nie są administrowane przez Narodowy Fundusz Zdrowia (NFZ). Dlatego też bardziej adekwatne wydaje się w tym przypadku odwołanie do art. 22 ustawy o SIOZ, który dot. </w:t>
            </w:r>
            <w:r w:rsidR="00726DDD" w:rsidRPr="00726DDD">
              <w:rPr>
                <w:rFonts w:asciiTheme="minorHAnsi" w:hAnsiTheme="minorHAnsi" w:cstheme="minorHAnsi"/>
                <w:sz w:val="22"/>
                <w:szCs w:val="22"/>
              </w:rPr>
              <w:t>System Rejestru Usług Medycznych Narodowego Funduszu Zdrowia</w:t>
            </w:r>
            <w:r w:rsidR="00726DD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686" w:type="dxa"/>
            <w:shd w:val="clear" w:color="auto" w:fill="auto"/>
          </w:tcPr>
          <w:p w14:paraId="6776CEF0" w14:textId="1EFA2DB4" w:rsidR="005E5AB0" w:rsidRPr="0056351B" w:rsidRDefault="00D652CE" w:rsidP="005E5A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14:paraId="53EDBA22" w14:textId="77777777" w:rsidR="005E5AB0" w:rsidRPr="0056351B" w:rsidRDefault="005E5AB0" w:rsidP="005E5A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56351B" w14:paraId="15CD9A12" w14:textId="77777777" w:rsidTr="0056351B">
        <w:tc>
          <w:tcPr>
            <w:tcW w:w="562" w:type="dxa"/>
            <w:shd w:val="clear" w:color="auto" w:fill="auto"/>
          </w:tcPr>
          <w:p w14:paraId="193A60BF" w14:textId="2B64B265" w:rsidR="00A06425" w:rsidRPr="006700D9" w:rsidRDefault="00A06425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F9E4AD6" w14:textId="1E355D6E" w:rsidR="00A06425" w:rsidRPr="0056351B" w:rsidRDefault="00261D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26A9F093" w14:textId="02BC1282" w:rsidR="00A06425" w:rsidRPr="0056351B" w:rsidRDefault="003B368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31 pkt 2 (w zakresie dodawanego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art. 21a ust. 7 pkt 17 w 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DC583F">
              <w:rPr>
                <w:rFonts w:asciiTheme="minorHAnsi" w:hAnsiTheme="minorHAnsi" w:cstheme="minorHAnsi"/>
                <w:sz w:val="22"/>
                <w:szCs w:val="22"/>
              </w:rPr>
              <w:t xml:space="preserve"> z dnia 20 lipca 2018 r. o Polskim Instytucie Ekonomicznym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14:paraId="15EDD044" w14:textId="016D09FD" w:rsidR="003B3689" w:rsidRDefault="003B3689" w:rsidP="003B368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 wskazano powyżej, s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ystem informacji w ochronie 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bardzo pojemne pojęcie,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>które zgodnie z art. 3 ustawy o SIOZ nie odnosi się do systemu informacji, o którym mowa w art. 5 ustawy o SIOZ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odnosi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 jednego systemu teleinformatycznego, ale do konglomeratu baz danych, które prowadzone są przez wielu, różnych interesariuszy sektora zdrowia.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kładają się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niego zatem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nie tylko systemy centralne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np. System e-Zdrowia (P1)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systemy dziedzinowe i rejestry medyczne,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 ale również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bazy danych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prowadzone przez usługodawców (placówki medyczne) czy 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r w:rsidRPr="0056351B">
              <w:rPr>
                <w:rFonts w:asciiTheme="minorHAnsi" w:hAnsiTheme="minorHAnsi" w:cstheme="minorHAnsi"/>
                <w:sz w:val="22"/>
                <w:szCs w:val="22"/>
              </w:rPr>
              <w:t xml:space="preserve">samorządy zawodowe.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Powyższe implikuje zatem, że zgodnie z komentowanym przepisem do udostępniania danych na potrzeby analiz </w:t>
            </w:r>
            <w:r w:rsidRPr="006366CC">
              <w:rPr>
                <w:rFonts w:asciiTheme="minorHAnsi" w:hAnsiTheme="minorHAnsi" w:cstheme="minorHAnsi"/>
                <w:sz w:val="22"/>
                <w:szCs w:val="22"/>
              </w:rPr>
              <w:t>polityk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zobligowane byłyby również podmioty niepubliczne niewykonujące zadań publicznych</w:t>
            </w:r>
            <w:r w:rsidR="001471D4">
              <w:rPr>
                <w:rFonts w:asciiTheme="minorHAnsi" w:hAnsiTheme="minorHAnsi" w:cstheme="minorHAnsi"/>
                <w:sz w:val="22"/>
                <w:szCs w:val="22"/>
              </w:rPr>
              <w:t xml:space="preserve"> (usługodawcy tj. placówki medyczne)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To z kolei wydaje się być sprzeczne z intencją </w:t>
            </w:r>
            <w:r w:rsidR="001471D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rojektodawców. Brzmienie przepisów dot. prowadzenia </w:t>
            </w:r>
            <w:r w:rsidR="001471D4">
              <w:rPr>
                <w:rFonts w:asciiTheme="minorHAnsi" w:hAnsiTheme="minorHAnsi" w:cstheme="minorHAnsi"/>
                <w:sz w:val="22"/>
                <w:szCs w:val="22"/>
              </w:rPr>
              <w:t>ZPA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wskazuje bowiem, iż </w:t>
            </w:r>
            <w:r w:rsidR="001471D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rojektodawcy dążą, by w celu dokonywania analiz polityk publicznych Instytutowi przekazywane były dane znajdujące się w posiadaniu wyłącznie podmiotów publicznych. </w:t>
            </w:r>
          </w:p>
          <w:p w14:paraId="607F028E" w14:textId="41B92F8A" w:rsidR="00A06425" w:rsidRPr="0056351B" w:rsidRDefault="009F4BB9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powyższym, o ile właściwie zidentyfikowano dążenie projektodawców,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MZ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proponuje doprecyzowanie komentowanego przepisu co do katalogu systemów teleinformatycznych, z których dane mają być przekazywane Instytutowi. W świetle brzmienia projektowanych przepisów o ZPA i powiązania ich z obowiązkami podmiotów publicznych,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MZ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rekomenduje, iż dookreślenie poprzez wskazanie, że Instytutowi mogą być przekazywane dane z Systemu e-Zdrowia (P1), systemów dziedzinowych oraz z rejestrów medycznych, o których mowa w art. 5 ust. 1 ustawy o SIOZ.</w:t>
            </w:r>
          </w:p>
        </w:tc>
        <w:tc>
          <w:tcPr>
            <w:tcW w:w="3686" w:type="dxa"/>
            <w:shd w:val="clear" w:color="auto" w:fill="auto"/>
          </w:tcPr>
          <w:p w14:paraId="0391E28C" w14:textId="7EB80DE1" w:rsidR="00A06425" w:rsidRPr="0056351B" w:rsidRDefault="00D652CE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1359" w:type="dxa"/>
          </w:tcPr>
          <w:p w14:paraId="0EACC9FD" w14:textId="77777777" w:rsidR="00A06425" w:rsidRPr="0056351B" w:rsidRDefault="00A06425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56351B" w14:paraId="199F1211" w14:textId="77777777" w:rsidTr="0056351B">
        <w:tc>
          <w:tcPr>
            <w:tcW w:w="562" w:type="dxa"/>
            <w:shd w:val="clear" w:color="auto" w:fill="auto"/>
          </w:tcPr>
          <w:p w14:paraId="0B9C6FFF" w14:textId="511CA88E" w:rsidR="00A06425" w:rsidRPr="006700D9" w:rsidRDefault="00A06425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B8139BF" w14:textId="4D34B059" w:rsidR="00A06425" w:rsidRPr="0056351B" w:rsidRDefault="00261D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shd w:val="clear" w:color="auto" w:fill="auto"/>
          </w:tcPr>
          <w:p w14:paraId="7790F906" w14:textId="75D9E112" w:rsidR="00A06425" w:rsidRPr="0056351B" w:rsidRDefault="001471D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45</w:t>
            </w:r>
          </w:p>
        </w:tc>
        <w:tc>
          <w:tcPr>
            <w:tcW w:w="6804" w:type="dxa"/>
            <w:shd w:val="clear" w:color="auto" w:fill="auto"/>
          </w:tcPr>
          <w:p w14:paraId="0FAE5491" w14:textId="00B6A93D" w:rsidR="00A06425" w:rsidRPr="0056351B" w:rsidRDefault="001471D4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uwagą nr 1, konieczne jest zapewnienie odpowiedniego </w:t>
            </w:r>
            <w:r w:rsidRPr="001471D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vacatio legis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wejście w życie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 xml:space="preserve">rozwiązań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(co najmniej w zakresie przepisów dot. dokonywania analiz w ramach ZPA i przekazywania na te potrzeby danych przez właściwe podmioty). Szacunki co do czasu realizacji prac związanych z integracją systemów składających się na system informacji w ochronie zdrowia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będą mogły zostać przygotowane na etapie dalszych prac po podjęciu decyzji o ich kontynuacji.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Ich opracowanie wymaga bowiem uprzedniego pozyskania rozstrzygnięć Projektodawców w powyżej zasygnalizowanych kwestiach oraz kolejno dokonania szczegółowych i szeroko zakrojonych analiz co do zakresu i czasu trwania prac deweloperskich z tym związanych.</w:t>
            </w:r>
          </w:p>
        </w:tc>
        <w:tc>
          <w:tcPr>
            <w:tcW w:w="3686" w:type="dxa"/>
            <w:shd w:val="clear" w:color="auto" w:fill="auto"/>
          </w:tcPr>
          <w:p w14:paraId="2DEEFC0B" w14:textId="75F9797B" w:rsidR="00A06425" w:rsidRPr="0056351B" w:rsidRDefault="00D652CE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59" w:type="dxa"/>
          </w:tcPr>
          <w:p w14:paraId="444802C5" w14:textId="77777777" w:rsidR="00A06425" w:rsidRPr="0056351B" w:rsidRDefault="00A06425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E52" w:rsidRPr="0056351B" w14:paraId="505E5FB9" w14:textId="77777777" w:rsidTr="005635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356E" w14:textId="537B1D96" w:rsidR="00924E52" w:rsidRPr="006700D9" w:rsidRDefault="00924E52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A196" w14:textId="29810981" w:rsidR="00924E52" w:rsidRPr="0056351B" w:rsidRDefault="00261DCF" w:rsidP="00F75CD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F585" w14:textId="3BD65DF4" w:rsidR="00924E52" w:rsidRPr="0056351B" w:rsidRDefault="001471D4" w:rsidP="00F75C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3740" w14:textId="20C87ED4" w:rsidR="00924E52" w:rsidRDefault="001471D4" w:rsidP="001471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uwagą nr 1, kalkulacje finansowe 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będą mogły być dokonane na późniejszym etapie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Ich opracowanie wymaga bowiem uprzedniego pozyskania rozstrzygnięć Projektodawców w powyżej zasygnalizowanych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kwestiach oraz kolejno dokonania szczegółowych i szeroko zakrojonych analiz w zakresie skutków finansowych.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2A2DD3D" w14:textId="51829F94" w:rsidR="003C414D" w:rsidRPr="0056351B" w:rsidRDefault="00AF7F4D" w:rsidP="001471D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MZ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 zwraca się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uwagę, że 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MZ i </w:t>
            </w:r>
            <w:proofErr w:type="spellStart"/>
            <w:r w:rsidR="00B16720"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powinny zostać uwzględnione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 w OSR jako podmiot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>, na które oddziałuje opiniowany projekt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ze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  wskazanie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C414D">
              <w:rPr>
                <w:rFonts w:asciiTheme="minorHAnsi" w:hAnsiTheme="minorHAnsi" w:cstheme="minorHAnsi"/>
                <w:sz w:val="22"/>
                <w:szCs w:val="22"/>
              </w:rPr>
              <w:t xml:space="preserve">w jaki sposób zapewnione zostaną środki na realizację 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proofErr w:type="spellStart"/>
            <w:r w:rsidR="00B16720"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 i MZ ww. zadań związanych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167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328B" w14:textId="7EB6508D" w:rsidR="00924E52" w:rsidRPr="0056351B" w:rsidRDefault="00D652CE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FFB" w14:textId="77777777" w:rsidR="00924E52" w:rsidRPr="0056351B" w:rsidRDefault="00924E52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B0B" w:rsidRPr="0056351B" w14:paraId="734E0322" w14:textId="77777777" w:rsidTr="005635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D1A5" w14:textId="77777777" w:rsidR="00194B0B" w:rsidRPr="006700D9" w:rsidRDefault="00194B0B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86BE1" w14:textId="49FE3BF7" w:rsidR="00194B0B" w:rsidRDefault="00261DCF" w:rsidP="00F75CD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4E6A" w14:textId="03A4095D" w:rsidR="00194B0B" w:rsidRDefault="00194B0B" w:rsidP="00F75C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31 pkt 6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 xml:space="preserve">(w zakresie dodawanego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15c ust. 4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 xml:space="preserve"> w ustawie z dnia 20 lipca 2018 r. o Polskim Instytucie Ekonomicznym)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6B2D" w14:textId="4BD68F36" w:rsidR="00194B0B" w:rsidRPr="00194B0B" w:rsidRDefault="00194B0B" w:rsidP="00194B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W projektowanym art. 15c ust. 4 ustawy o PIE wskazano, że wniosek o przeprowadzenie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analizy może zawierać wskazanie pracowników podmiotu, którzy będą współdziałać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Instytutem w celu wykonania analizy będącej przedmiotem wniosku i którzy 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upoważnieni przez Dyrektora Instytutu do przetwarzania danych na podstawie art. 15c ust.</w:t>
            </w:r>
          </w:p>
          <w:p w14:paraId="6D0FEA68" w14:textId="17CA6878" w:rsidR="00194B0B" w:rsidRDefault="00194B0B" w:rsidP="00194B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10. Katalog podmiotów mogących składać wniosek nie został jednak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określony. Wskazano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jedynie, że podmiot składa wniosek w zakresie swoich polityk publicznych. Nie zostało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jednak określone czym są polityki publiczne.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96F0" w14:textId="77777777" w:rsidR="00194B0B" w:rsidRDefault="00194B0B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21B" w14:textId="77777777" w:rsidR="00194B0B" w:rsidRPr="0056351B" w:rsidRDefault="00194B0B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B0B" w:rsidRPr="0056351B" w14:paraId="1F9583F3" w14:textId="77777777" w:rsidTr="0056351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9192" w14:textId="77777777" w:rsidR="00194B0B" w:rsidRPr="006700D9" w:rsidRDefault="00194B0B" w:rsidP="006700D9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8698" w14:textId="31089C6C" w:rsidR="00194B0B" w:rsidRDefault="00261DCF" w:rsidP="00F75CD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7F63" w14:textId="47A470BE" w:rsidR="00194B0B" w:rsidRDefault="00194B0B" w:rsidP="00F75C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 oraz art. 45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6A5A" w14:textId="6FB7CA1A" w:rsidR="00194B0B" w:rsidRPr="00194B0B" w:rsidRDefault="00194B0B" w:rsidP="00194B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Mając na uwadze zakres przedmiotowy regulacji, konieczne będzie dostosowywanie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informatycznego Narodowego Funduszu Zdrowia do projektowanych zmian (nieznany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dokładny zakres danych, który będzie przekazywany z NFZ do tworzonego rejestru). Oszacowanie</w:t>
            </w:r>
          </w:p>
          <w:p w14:paraId="41DAD0B5" w14:textId="6ED06C51" w:rsidR="00194B0B" w:rsidRPr="00194B0B" w:rsidRDefault="00194B0B" w:rsidP="00194B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terminu dostosowania SI NFZ będzie możliwe po uzgodnieniu szczegółowych informacji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 xml:space="preserve">dotyczących zakresu danych, jakie ma przekazywać Fundusz, </w:t>
            </w:r>
            <w:proofErr w:type="spellStart"/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pseudonimizacji</w:t>
            </w:r>
            <w:proofErr w:type="spellEnd"/>
            <w:r w:rsidRPr="00194B0B">
              <w:rPr>
                <w:rFonts w:asciiTheme="minorHAnsi" w:hAnsiTheme="minorHAnsi" w:cstheme="minorHAnsi"/>
                <w:sz w:val="22"/>
                <w:szCs w:val="22"/>
              </w:rPr>
              <w:t xml:space="preserve"> danych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>ustalenia bezpiecznego kanału przekazywania tych danych. Zasadn</w:t>
            </w:r>
            <w:r w:rsidR="00AF7F4D">
              <w:rPr>
                <w:rFonts w:asciiTheme="minorHAnsi" w:hAnsiTheme="minorHAnsi" w:cstheme="minorHAnsi"/>
                <w:sz w:val="22"/>
                <w:szCs w:val="22"/>
              </w:rPr>
              <w:t>e są też ustalenia co do okresu wejścia w życie projektowanych w tym zakresie regulacji.</w:t>
            </w:r>
            <w:r w:rsidRPr="00194B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7E22" w14:textId="77777777" w:rsidR="00194B0B" w:rsidRDefault="00194B0B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91AD" w14:textId="77777777" w:rsidR="00194B0B" w:rsidRPr="0056351B" w:rsidRDefault="00194B0B" w:rsidP="009206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84C921" w14:textId="77777777" w:rsidR="00C64B1B" w:rsidRPr="0056351B" w:rsidRDefault="00C64B1B" w:rsidP="00C64B1B">
      <w:pPr>
        <w:jc w:val="center"/>
        <w:rPr>
          <w:sz w:val="22"/>
          <w:szCs w:val="22"/>
        </w:rPr>
      </w:pPr>
    </w:p>
    <w:sectPr w:rsidR="00C64B1B" w:rsidRPr="005635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50B75" w14:textId="77777777" w:rsidR="00C76220" w:rsidRDefault="00C76220" w:rsidP="003C310A">
      <w:r>
        <w:separator/>
      </w:r>
    </w:p>
  </w:endnote>
  <w:endnote w:type="continuationSeparator" w:id="0">
    <w:p w14:paraId="0ACAA646" w14:textId="77777777" w:rsidR="00C76220" w:rsidRDefault="00C76220" w:rsidP="003C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541D" w14:textId="77777777" w:rsidR="00C76220" w:rsidRDefault="00C76220" w:rsidP="003C310A">
      <w:r>
        <w:separator/>
      </w:r>
    </w:p>
  </w:footnote>
  <w:footnote w:type="continuationSeparator" w:id="0">
    <w:p w14:paraId="1BC43CC4" w14:textId="77777777" w:rsidR="00C76220" w:rsidRDefault="00C76220" w:rsidP="003C3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B40D4"/>
    <w:multiLevelType w:val="hybridMultilevel"/>
    <w:tmpl w:val="A1549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38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DC5"/>
    <w:rsid w:val="00034258"/>
    <w:rsid w:val="000E1D9A"/>
    <w:rsid w:val="001102E0"/>
    <w:rsid w:val="00140BE8"/>
    <w:rsid w:val="001471D4"/>
    <w:rsid w:val="00155944"/>
    <w:rsid w:val="00176EED"/>
    <w:rsid w:val="00194B0B"/>
    <w:rsid w:val="0019648E"/>
    <w:rsid w:val="00196DF7"/>
    <w:rsid w:val="00224C3B"/>
    <w:rsid w:val="00261DCF"/>
    <w:rsid w:val="002715B2"/>
    <w:rsid w:val="002E73ED"/>
    <w:rsid w:val="003124D1"/>
    <w:rsid w:val="00330C14"/>
    <w:rsid w:val="003B3689"/>
    <w:rsid w:val="003B4105"/>
    <w:rsid w:val="003C310A"/>
    <w:rsid w:val="003C414D"/>
    <w:rsid w:val="003F1E92"/>
    <w:rsid w:val="0040348D"/>
    <w:rsid w:val="0045170D"/>
    <w:rsid w:val="004C11D7"/>
    <w:rsid w:val="004D086F"/>
    <w:rsid w:val="00543B23"/>
    <w:rsid w:val="0056351B"/>
    <w:rsid w:val="005A2AAC"/>
    <w:rsid w:val="005E5AB0"/>
    <w:rsid w:val="005F6527"/>
    <w:rsid w:val="006366CC"/>
    <w:rsid w:val="0065626F"/>
    <w:rsid w:val="006700D9"/>
    <w:rsid w:val="006705EC"/>
    <w:rsid w:val="00671ED0"/>
    <w:rsid w:val="006E16E9"/>
    <w:rsid w:val="00703C8B"/>
    <w:rsid w:val="00710A8A"/>
    <w:rsid w:val="00726DDD"/>
    <w:rsid w:val="00807385"/>
    <w:rsid w:val="008922BC"/>
    <w:rsid w:val="008A35F2"/>
    <w:rsid w:val="009206D3"/>
    <w:rsid w:val="00924E52"/>
    <w:rsid w:val="00944932"/>
    <w:rsid w:val="00967D07"/>
    <w:rsid w:val="009E5FDB"/>
    <w:rsid w:val="009F4BB9"/>
    <w:rsid w:val="00A06425"/>
    <w:rsid w:val="00A07901"/>
    <w:rsid w:val="00AC7796"/>
    <w:rsid w:val="00AD6D88"/>
    <w:rsid w:val="00AF7F4D"/>
    <w:rsid w:val="00B16720"/>
    <w:rsid w:val="00B34C4D"/>
    <w:rsid w:val="00B651C2"/>
    <w:rsid w:val="00B76581"/>
    <w:rsid w:val="00B83B15"/>
    <w:rsid w:val="00B871B6"/>
    <w:rsid w:val="00B92A9E"/>
    <w:rsid w:val="00BD7D29"/>
    <w:rsid w:val="00C36CF4"/>
    <w:rsid w:val="00C40E6A"/>
    <w:rsid w:val="00C64B1B"/>
    <w:rsid w:val="00C711B3"/>
    <w:rsid w:val="00C76220"/>
    <w:rsid w:val="00CD5EB0"/>
    <w:rsid w:val="00CF7E69"/>
    <w:rsid w:val="00D4082B"/>
    <w:rsid w:val="00D652CE"/>
    <w:rsid w:val="00DC583F"/>
    <w:rsid w:val="00DF0C4A"/>
    <w:rsid w:val="00E14C33"/>
    <w:rsid w:val="00ED4F03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346C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6700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0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700D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7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700D9"/>
    <w:rPr>
      <w:b/>
      <w:bCs/>
    </w:rPr>
  </w:style>
  <w:style w:type="paragraph" w:styleId="Akapitzlist">
    <w:name w:val="List Paragraph"/>
    <w:basedOn w:val="Normalny"/>
    <w:uiPriority w:val="34"/>
    <w:qFormat/>
    <w:rsid w:val="006700D9"/>
    <w:pPr>
      <w:ind w:left="720"/>
      <w:contextualSpacing/>
    </w:pPr>
  </w:style>
  <w:style w:type="paragraph" w:styleId="Poprawka">
    <w:name w:val="Revision"/>
    <w:hidden/>
    <w:uiPriority w:val="99"/>
    <w:semiHidden/>
    <w:rsid w:val="00D408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1CCB0-6729-4F6F-B6E0-F987D30C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1864</Words>
  <Characters>11613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Wójcik Ewa</cp:lastModifiedBy>
  <cp:revision>4</cp:revision>
  <cp:lastPrinted>2023-03-28T11:06:00Z</cp:lastPrinted>
  <dcterms:created xsi:type="dcterms:W3CDTF">2023-03-30T18:41:00Z</dcterms:created>
  <dcterms:modified xsi:type="dcterms:W3CDTF">2023-03-30T18:52:00Z</dcterms:modified>
</cp:coreProperties>
</file>